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246" w:rsidRDefault="00550246" w:rsidP="00550246">
      <w:pPr>
        <w:jc w:val="both"/>
      </w:pPr>
      <w:r>
        <w:tab/>
      </w:r>
      <w:r>
        <w:tab/>
        <w:t>Raport bieżący nr</w:t>
      </w:r>
      <w:r>
        <w:tab/>
        <w:t>51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550246" w:rsidRDefault="00550246" w:rsidP="00550246">
      <w:pPr>
        <w:jc w:val="both"/>
      </w:pPr>
      <w:r>
        <w:t>Data sporządzenia:</w:t>
      </w:r>
      <w:r>
        <w:tab/>
        <w:t>2016-09-13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0246" w:rsidRDefault="00550246" w:rsidP="00550246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0246" w:rsidRDefault="00550246" w:rsidP="00550246">
      <w:pPr>
        <w:jc w:val="both"/>
      </w:pPr>
      <w:r>
        <w:t>Odwołanie osób zarządzających</w:t>
      </w:r>
      <w:r>
        <w:tab/>
      </w:r>
    </w:p>
    <w:p w:rsidR="00550246" w:rsidRDefault="00550246" w:rsidP="0055024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0246" w:rsidRDefault="00550246" w:rsidP="00550246">
      <w:pPr>
        <w:jc w:val="both"/>
      </w:pPr>
      <w:r>
        <w:t>Art. 17 ust. 1 MAR - informacje poufne.</w:t>
      </w:r>
      <w:r>
        <w:tab/>
      </w:r>
    </w:p>
    <w:p w:rsidR="00550246" w:rsidRDefault="00550246" w:rsidP="0055024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  <w:r>
        <w:t xml:space="preserve">Zarząd BIOMED-LUBLIN Wytwórnia Surowic i Szczepionek SA ("Emitent", „Spółka”) informuje, że w dniu 12 września 2016 r. Rada Nadzorcza Spółki podjęła uchwały w sprawie odwołania ze składu zarządu Pani Agnieszki Białej i Pana Marcusa Prestona. </w:t>
      </w: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  <w:r>
        <w:t>W związku z faktem, że Spółka ustaliła z wierzycielami warunki spłaty swoich zobowiązań w ramach planu restrukturyzacyjnego, który został zaakceptowany przez ok. 90% wierzycieli oraz wobec zatwierdzenia układu przez Sąd, przed którym toczy się postępowanie restrukturyzacyjne Spółki, zadania i rola wyżej wymienionych osób powołanych do Zarządu Spółki w celu stworzenia planu restrukturyzacyjnego i jego uzgodnienia z Wierzycielami, zostały wypełnione, co Zarząd i Rada Nadzorcza docenia i za co dziękuje. Sytuacja finansowa Spółki została ustabilizowana i tym samym zostały stworzone podstawy do realizacji zobowiązań określonych w planie restrukturyzacyjnym.</w:t>
      </w: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  <w:r>
        <w:t>Decyzja jest naturalnym następstwem zamknięcia procesu, który był prowadzony przez powołanych do zarządu specjalistów w tym obszarze. Jego celem było wypracowanie i zatwierdzenie układu z wierzycielami oraz planu restrukturyzacyjnego. Cele te zostały w pełni zrealizowane.</w:t>
      </w: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  <w:r>
        <w:t xml:space="preserve">Spółka koncentruje się obecnie na wzmocnieniu kompetencji nowego Zarządu w zakresie operacyjnego zarządzania biznesem, który Spółka prowadzi oraz jej aktywności rynkowej, co jest warunkiem niezbędnym do wypełnienia założeń przyjętego planu restrukturyzacyjnego. </w:t>
      </w: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  <w:r>
        <w:t>Podstawa prawna - art. 17 ust. 1 Rozporządzenia Parlamentu Europejskiego i Rady (UE) nr 596/2014 (MAR).</w:t>
      </w: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</w:p>
    <w:p w:rsidR="00550246" w:rsidRDefault="00550246" w:rsidP="00550246">
      <w:pPr>
        <w:jc w:val="both"/>
      </w:pPr>
    </w:p>
    <w:p w:rsidR="009A76AB" w:rsidRPr="00550246" w:rsidRDefault="00550246" w:rsidP="00550246">
      <w:pPr>
        <w:jc w:val="both"/>
      </w:pPr>
      <w:r>
        <w:t>2016-09-13</w:t>
      </w:r>
      <w:r>
        <w:tab/>
        <w:t>Andrzej Stachnik Grzegorz Zabiegły</w:t>
      </w:r>
      <w:r>
        <w:tab/>
        <w:t>Prezes Zarządu Członek Zarządu</w:t>
      </w:r>
    </w:p>
    <w:sectPr w:rsidR="009A76AB" w:rsidRPr="00550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2018-03-21T22:20:00Z</dcterms:created>
  <dcterms:modified xsi:type="dcterms:W3CDTF">2018-03-21T22:20:00Z</dcterms:modified>
</cp:coreProperties>
</file>