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F23" w:rsidRDefault="00065F23" w:rsidP="00065F23">
      <w:bookmarkStart w:id="0" w:name="_GoBack"/>
      <w:bookmarkEnd w:id="0"/>
      <w:r>
        <w:t>Raport bieżący nr</w:t>
      </w:r>
      <w:r>
        <w:tab/>
        <w:t>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065F23" w:rsidRDefault="00065F23" w:rsidP="00065F23">
      <w:r>
        <w:t>Data sporządzenia:</w:t>
      </w:r>
      <w:r>
        <w:tab/>
        <w:t>2017-01-20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65F23" w:rsidRDefault="00065F23" w:rsidP="00065F23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65F23" w:rsidRDefault="00065F23" w:rsidP="00065F23">
      <w:r>
        <w:t>Umowa na dostawę szczepionki przeciwgruźliczej BCG 10</w:t>
      </w:r>
      <w:r>
        <w:tab/>
      </w:r>
    </w:p>
    <w:p w:rsidR="00065F23" w:rsidRDefault="00065F23" w:rsidP="00065F23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65F23" w:rsidRDefault="00065F23" w:rsidP="00065F23">
      <w:r>
        <w:t>Art. 17 ust. 1 MAR - informacje poufne.</w:t>
      </w:r>
      <w:r>
        <w:tab/>
      </w:r>
    </w:p>
    <w:p w:rsidR="00065F23" w:rsidRDefault="00065F23" w:rsidP="00065F23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65F23" w:rsidRDefault="00065F23" w:rsidP="00065F23">
      <w:r>
        <w:t>Zarząd BIOMED-LUBLIN Wytwórnia Surowic i Szczepionek SA ("Emitent", ,,Spółka") informuje, że w dniu 20 stycznia 2017 roku do Spółki wpłynęła podpisana umowa z Ministrem Zdrowia, w imieniu którego działa Dyrektor Zakładu Zamówień Publicznych przy Ministrze Zdrowia, przedmiotem której jest sprzedaż i dostawa przez Emitenta na rzecz Ministerstwa Zdrowia szczepionki przeciwgruźliczej BCG 10 w ilości 25.000 ampułek za łączną cenę brutto 747.900,00 PLN.</w:t>
      </w:r>
    </w:p>
    <w:p w:rsidR="00065F23" w:rsidRDefault="00065F23" w:rsidP="00065F23"/>
    <w:p w:rsidR="00065F23" w:rsidRDefault="00065F23" w:rsidP="00065F23">
      <w:r>
        <w:t>Dostawa ma zostać zrealizowana przez Spółkę do dnia 28 lutego 2017 roku.</w:t>
      </w:r>
    </w:p>
    <w:p w:rsidR="00065F23" w:rsidRDefault="00065F23" w:rsidP="00065F23"/>
    <w:p w:rsidR="00065F23" w:rsidRDefault="00065F23" w:rsidP="00065F23">
      <w:r>
        <w:t>Termin płatności ceny został określony w umowie na 30 dni od daty należycie zrealizowanej dostawy.</w:t>
      </w:r>
    </w:p>
    <w:p w:rsidR="00065F23" w:rsidRDefault="00065F23" w:rsidP="00065F23"/>
    <w:p w:rsidR="00065F23" w:rsidRDefault="00065F23" w:rsidP="00065F23">
      <w:r>
        <w:t>Pozostałe warunki Umowy nie odbiegają od warunków stosowanych powszechnie dla tego typu umów.</w:t>
      </w:r>
    </w:p>
    <w:p w:rsidR="00065F23" w:rsidRDefault="00065F23" w:rsidP="00065F23"/>
    <w:p w:rsidR="00065F23" w:rsidRDefault="00065F23" w:rsidP="00065F23">
      <w:r>
        <w:t>W ocenie Zarządu zawarcie ww. umowy będzie zdarzeniem pozytywnym dla Spółki, ze względu na znaczną poprawę struktury przepływów pieniężnych w bieżącym kwartale.</w:t>
      </w:r>
    </w:p>
    <w:p w:rsidR="00065F23" w:rsidRDefault="00065F23" w:rsidP="00065F23"/>
    <w:p w:rsidR="00065F23" w:rsidRDefault="00065F23" w:rsidP="00065F23">
      <w:r>
        <w:t>Podstawa prawna - art. 17 ust. 1 Rozporządzenia Parlamentu Europejskiego i Rady (UE) nr 596/2014 (MAR).</w:t>
      </w:r>
    </w:p>
    <w:p w:rsidR="00065F23" w:rsidRDefault="00065F23" w:rsidP="00065F23">
      <w:pPr>
        <w:rPr>
          <w:lang w:val="en-US"/>
        </w:rPr>
      </w:pPr>
    </w:p>
    <w:p w:rsidR="00065F23" w:rsidRDefault="00065F23" w:rsidP="00065F23">
      <w:r>
        <w:t>2017-01-20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065F23" w:rsidRDefault="00065F23" w:rsidP="00065F23">
      <w:r>
        <w:t>2017-01-20</w:t>
      </w:r>
      <w:r>
        <w:tab/>
        <w:t>Adam Siwek</w:t>
      </w:r>
      <w:r>
        <w:tab/>
        <w:t>Członek Zarządu</w:t>
      </w:r>
    </w:p>
    <w:sectPr w:rsidR="009A76AB" w:rsidRPr="00065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2018-03-21T20:28:00Z</dcterms:created>
  <dcterms:modified xsi:type="dcterms:W3CDTF">2018-03-21T20:28:00Z</dcterms:modified>
</cp:coreProperties>
</file>