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7D7" w:rsidRDefault="00D017D7" w:rsidP="00D017D7">
      <w:pPr>
        <w:jc w:val="both"/>
      </w:pPr>
      <w:r>
        <w:t>R</w:t>
      </w:r>
      <w:bookmarkStart w:id="0" w:name="_GoBack"/>
      <w:bookmarkEnd w:id="0"/>
      <w:r>
        <w:t>aport bieżący nr</w:t>
      </w:r>
      <w:r>
        <w:tab/>
        <w:t>49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D017D7" w:rsidRDefault="00D017D7" w:rsidP="00D017D7">
      <w:pPr>
        <w:jc w:val="both"/>
      </w:pPr>
      <w:r>
        <w:t>Data sporządzenia:</w:t>
      </w:r>
      <w:r>
        <w:tab/>
        <w:t>2017-09-01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017D7" w:rsidRDefault="00D017D7" w:rsidP="00D017D7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017D7" w:rsidRDefault="00D017D7" w:rsidP="00D017D7">
      <w:pPr>
        <w:jc w:val="both"/>
      </w:pPr>
      <w:r>
        <w:t>Podpisanie listu intencyjnego w sprawie sprzedaży nieruchomości w Mielcu</w:t>
      </w:r>
      <w:r>
        <w:tab/>
      </w:r>
    </w:p>
    <w:p w:rsidR="00D017D7" w:rsidRDefault="00D017D7" w:rsidP="00D017D7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017D7" w:rsidRDefault="00D017D7" w:rsidP="00D017D7">
      <w:pPr>
        <w:jc w:val="both"/>
      </w:pPr>
      <w:r>
        <w:t>Art. 17 ust. 1 MAR - informacje poufne.</w:t>
      </w:r>
      <w:r>
        <w:tab/>
      </w:r>
    </w:p>
    <w:p w:rsidR="00D017D7" w:rsidRDefault="00D017D7" w:rsidP="00D017D7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017D7" w:rsidRDefault="00D017D7" w:rsidP="00D017D7">
      <w:pPr>
        <w:jc w:val="both"/>
      </w:pPr>
      <w:r>
        <w:t xml:space="preserve">Zarząd </w:t>
      </w:r>
      <w:proofErr w:type="spellStart"/>
      <w:r>
        <w:t>Biomed</w:t>
      </w:r>
      <w:proofErr w:type="spellEnd"/>
      <w:r>
        <w:t>-Lublin Wytwórnia Surowic i Szczepionek SA („Emitent”, „Spółka”) informuje, iż w dniu 31 sierpnia 2017 r. podpisany został list intencyjny pomiędzy Spółką, SO SPV 114 spółka z ograniczoną odpowiedzialnością z siedzibą w Warszawie („SO SPV 114”) oraz PKO Leasing SA z siedzibą w Łodzi („PKO Leasing”), w sprawie sprzedaży zabudowanej nieruchomości w Mielcu, przy ul. Wojska Polskiego numer 3, stanowiącej działkę ewidencyjną numer 80/2 („List Intencyjny”).</w:t>
      </w:r>
    </w:p>
    <w:p w:rsidR="00D017D7" w:rsidRDefault="00D017D7" w:rsidP="00D017D7">
      <w:pPr>
        <w:jc w:val="both"/>
      </w:pPr>
    </w:p>
    <w:p w:rsidR="00D017D7" w:rsidRDefault="00D017D7" w:rsidP="00D017D7">
      <w:pPr>
        <w:jc w:val="both"/>
      </w:pPr>
      <w:r>
        <w:t xml:space="preserve">W Liście Intencyjnym strony zadeklarowały wolę przeprowadzenia transakcji polegającej na sprzedaży zabudowanej nieruchomości w Mielcu („Nieruchomość”) należącej do PKO Leasing, a która jest aktualnie leasingowana przez Emitenta, na podstawie umowy leasingu operacyjnego nieruchomości i umowę dzierżawy nr N/LU/2009/06/0003 („Umowa Leasingu Nieruchomości i Umowa Dzierżawy”). W celu sprzedaży Nieruchomości strony zobowiązały się do podjęcia szeregu czynności. Spółka przygotuje i przekaże SO SPV 114 Sp. z o.o. dokument zawierający pełną inwentaryzację nieruchomości oraz opinię o stanie technicznym obiektów, zawrze porozumienie </w:t>
      </w:r>
      <w:proofErr w:type="spellStart"/>
      <w:r>
        <w:t>ws</w:t>
      </w:r>
      <w:proofErr w:type="spellEnd"/>
      <w:r>
        <w:t xml:space="preserve">. rozwiązania umowy leasingu operacyjnego z Millennium Leasing SA, oraz zawrze z PKO Leasing porozumienie </w:t>
      </w:r>
      <w:proofErr w:type="spellStart"/>
      <w:r>
        <w:t>ws</w:t>
      </w:r>
      <w:proofErr w:type="spellEnd"/>
      <w:r>
        <w:t>. rozwiązania Umowy Leasingu Nieruchomości i Umowę Dzierżawy. W dalszym etapie PKO Leasing i SO SPV 114 zawrą warunkową umowę sprzedaży Nieruchomości, przy czym strony dołożą wszelkich starań, ażeby miało to miejsce nie później niż do dnia 19 września 2017 r. W przypadku nie skorzystania przez zarządcę Specjalnej Strefy Mieleckiej – Agencję Rozwoju Przemysłu S.A. w Warszawie – z ustawowego prawa pierwokupu, SO SPV 114 oraz PKO Leasing zobowiązane będą do zawarcia umowy przenoszącej własność Nieruchomości.</w:t>
      </w:r>
    </w:p>
    <w:p w:rsidR="00D017D7" w:rsidRDefault="00D017D7" w:rsidP="00D017D7">
      <w:pPr>
        <w:jc w:val="both"/>
      </w:pPr>
    </w:p>
    <w:p w:rsidR="00D017D7" w:rsidRDefault="00D017D7" w:rsidP="00D017D7">
      <w:pPr>
        <w:jc w:val="both"/>
      </w:pPr>
      <w:r>
        <w:t>W wyniku przeprowadzenia transakcji, o której mowa powyżej Spółka znacząco obniży koszty związane z leasingiem i dzierżawą nieruchomości w Mielcu, oraz z utrzymaniem jej. Łączne szacowane oszczędności w perspektywie najbliższych 12 miesięcy Spółka określa na ok 2 mln zł. Dodatkowym efektem będzie wygaśnięcie zabezpieczeń w postaci ustanowionych hipotek na innych nieruchomościach Spółki na rzecz PKO Leasing SA związanych z Umową Leasingu Nieruchomości i Umową Dzierżawy, co otwiera drogę do renegocjowania struktury finansowania Spółki oraz ustanawiania zabezpieczeń na rzecz wierzycieli, z którymi Spółka negocjuje nowe warunki spłaty zobowiązań.</w:t>
      </w:r>
    </w:p>
    <w:p w:rsidR="00D017D7" w:rsidRDefault="00D017D7" w:rsidP="00D017D7">
      <w:pPr>
        <w:jc w:val="both"/>
      </w:pPr>
    </w:p>
    <w:p w:rsidR="00D017D7" w:rsidRDefault="00D017D7" w:rsidP="00D017D7">
      <w:pPr>
        <w:jc w:val="both"/>
      </w:pPr>
      <w:r>
        <w:t>Podstawa prawna - art. 17 ust. 1 Rozporządzenia Parlamentu Europejskiego i Rady (UE) nr 596/2014 (MAR).</w:t>
      </w:r>
    </w:p>
    <w:p w:rsidR="00D017D7" w:rsidRDefault="00D017D7" w:rsidP="00D017D7">
      <w:pPr>
        <w:jc w:val="both"/>
        <w:rPr>
          <w:lang w:val="en-US"/>
        </w:rPr>
      </w:pPr>
    </w:p>
    <w:p w:rsidR="00D017D7" w:rsidRDefault="00D017D7" w:rsidP="00D017D7">
      <w:pPr>
        <w:jc w:val="both"/>
      </w:pPr>
      <w:r>
        <w:t>2017-09-01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D017D7" w:rsidRDefault="00D017D7" w:rsidP="00D017D7">
      <w:pPr>
        <w:jc w:val="both"/>
      </w:pPr>
      <w:r>
        <w:t>2017-09-01</w:t>
      </w:r>
      <w:r>
        <w:tab/>
        <w:t>Włodzimierz Parzydło</w:t>
      </w:r>
      <w:r>
        <w:tab/>
        <w:t>Prokurent</w:t>
      </w:r>
    </w:p>
    <w:sectPr w:rsidR="009A76AB" w:rsidRPr="00D017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A642C"/>
    <w:rsid w:val="0011638B"/>
    <w:rsid w:val="0014358A"/>
    <w:rsid w:val="0015515C"/>
    <w:rsid w:val="00210D8C"/>
    <w:rsid w:val="00222958"/>
    <w:rsid w:val="00325EC3"/>
    <w:rsid w:val="00345DB4"/>
    <w:rsid w:val="003930E6"/>
    <w:rsid w:val="0043127D"/>
    <w:rsid w:val="00555D34"/>
    <w:rsid w:val="00556A05"/>
    <w:rsid w:val="005F7539"/>
    <w:rsid w:val="00603EF0"/>
    <w:rsid w:val="00665169"/>
    <w:rsid w:val="00682523"/>
    <w:rsid w:val="006A4EBB"/>
    <w:rsid w:val="006C27AC"/>
    <w:rsid w:val="007275C0"/>
    <w:rsid w:val="007D55F3"/>
    <w:rsid w:val="008072B4"/>
    <w:rsid w:val="009137AB"/>
    <w:rsid w:val="00987588"/>
    <w:rsid w:val="009E1926"/>
    <w:rsid w:val="00A03C75"/>
    <w:rsid w:val="00A0563C"/>
    <w:rsid w:val="00C159AB"/>
    <w:rsid w:val="00C80057"/>
    <w:rsid w:val="00CD2D0F"/>
    <w:rsid w:val="00CE1F9B"/>
    <w:rsid w:val="00D017D7"/>
    <w:rsid w:val="00D21383"/>
    <w:rsid w:val="00D71E6D"/>
    <w:rsid w:val="00D97A89"/>
    <w:rsid w:val="00E8218B"/>
    <w:rsid w:val="00EC6F93"/>
    <w:rsid w:val="00F151EB"/>
    <w:rsid w:val="00F466E6"/>
    <w:rsid w:val="00F5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401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2018-03-21T19:18:00Z</dcterms:created>
  <dcterms:modified xsi:type="dcterms:W3CDTF">2018-03-21T19:18:00Z</dcterms:modified>
</cp:coreProperties>
</file>