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1383" w:rsidRDefault="00D21383" w:rsidP="00D21383">
      <w:r>
        <w:t>Raport bieżący nr</w:t>
      </w:r>
      <w:r>
        <w:tab/>
        <w:t>74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D21383" w:rsidRDefault="00D21383" w:rsidP="00D21383">
      <w:r>
        <w:t>Data sporządzenia:</w:t>
      </w:r>
      <w:r>
        <w:tab/>
        <w:t>2017-11-23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21383" w:rsidRDefault="00D21383" w:rsidP="00D21383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21383" w:rsidRDefault="00D21383" w:rsidP="00D21383">
      <w:pPr>
        <w:jc w:val="both"/>
      </w:pPr>
      <w:r>
        <w:t>Zwołanie Nadzwyczajnego Walnego Zgromadzenia Emitenta na dzień 20.12.2017 r.</w:t>
      </w:r>
      <w:r>
        <w:tab/>
      </w:r>
    </w:p>
    <w:p w:rsidR="00D21383" w:rsidRDefault="00D21383" w:rsidP="00D21383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21383" w:rsidRDefault="00D21383" w:rsidP="00D21383">
      <w:pPr>
        <w:jc w:val="both"/>
      </w:pPr>
      <w:r>
        <w:t>Art. 56 ust. 1 pkt 2 Ustawy o ofercie - informacje bieżące i okresowe</w:t>
      </w:r>
    </w:p>
    <w:p w:rsidR="00D21383" w:rsidRDefault="00D21383" w:rsidP="00D21383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21383" w:rsidRDefault="00D21383" w:rsidP="00D21383">
      <w:pPr>
        <w:jc w:val="both"/>
      </w:pPr>
      <w:r>
        <w:t>Zarząd "BIOMED -LUBLIN" Wytwórnia Surowic i Szczepionek Spółka Akcyjna z siedzibą w Lublinie przy ulicy Uniwersyteckiej 10 (dalej: "Spółka"), KRS 0000373032, Sąd Rejonowy Lublin – Wschód w Lublinie z/s w Świdniku, VI Wydział Gospodarczy Krajowego R</w:t>
      </w:r>
      <w:bookmarkStart w:id="0" w:name="_GoBack"/>
      <w:bookmarkEnd w:id="0"/>
      <w:r>
        <w:t>ejestru Sądowego, działając na podstawie art. 399 § 1, art. 402(1) § 1 i 2 oraz art. 402(2) Kodeksu Spółek Handlowych oraz § 25 Statutu Spółki zwołuje na dzień 20 grudnia 2017 r. na godzinę 11.00 w siedzibie Spółki Nadzwyczajne Walne Zgromadzenie.</w:t>
      </w:r>
    </w:p>
    <w:p w:rsidR="00D21383" w:rsidRDefault="00D21383" w:rsidP="00D21383">
      <w:pPr>
        <w:jc w:val="both"/>
      </w:pPr>
      <w:r>
        <w:t>Pełny tekst ogłoszenia o zwołaniu walnego zgromadzenia Spółki wraz z porządkiem obrad oraz treść projektów uchwał znajdują się załącznikach do niniejszego raportu.</w:t>
      </w:r>
    </w:p>
    <w:p w:rsidR="00D21383" w:rsidRDefault="00D21383" w:rsidP="00D21383">
      <w:pPr>
        <w:jc w:val="both"/>
      </w:pPr>
      <w:r>
        <w:t xml:space="preserve">Podstawa prawna: </w:t>
      </w:r>
    </w:p>
    <w:p w:rsidR="00D21383" w:rsidRDefault="00D21383" w:rsidP="00D21383">
      <w:pPr>
        <w:jc w:val="both"/>
      </w:pPr>
      <w:r>
        <w:t>§ 38 ust. 1 pkt 1) i 3) Rozporządzenia Ministra Finansów z dnia 13 lutego 2009 r. w sprawie informacji bieżących i okresowych przekazywanych przez emitentów papierów wartościowych oraz warunków uznawania za równoważne informacji wymaganych przepisami prawa państwa niebędącego państwem członkowskim (Dz.U. 2014 poz. 133)</w:t>
      </w:r>
    </w:p>
    <w:p w:rsidR="00D21383" w:rsidRDefault="00D21383" w:rsidP="00D21383"/>
    <w:p w:rsidR="00D21383" w:rsidRDefault="00D21383" w:rsidP="00D21383">
      <w:r>
        <w:t>2017-11-23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D21383" w:rsidRDefault="00D21383" w:rsidP="00D21383">
      <w:r>
        <w:t>2017-11-23</w:t>
      </w:r>
      <w:r>
        <w:tab/>
        <w:t>Włodzimierz Parzydło</w:t>
      </w:r>
      <w:r>
        <w:tab/>
        <w:t>Członek Zarządu</w:t>
      </w:r>
    </w:p>
    <w:sectPr w:rsidR="009A76AB" w:rsidRPr="00D213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A642C"/>
    <w:rsid w:val="00325EC3"/>
    <w:rsid w:val="00665169"/>
    <w:rsid w:val="008072B4"/>
    <w:rsid w:val="00987588"/>
    <w:rsid w:val="00C159AB"/>
    <w:rsid w:val="00D21383"/>
    <w:rsid w:val="00D71E6D"/>
    <w:rsid w:val="00F4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2018-03-21T17:44:00Z</dcterms:created>
  <dcterms:modified xsi:type="dcterms:W3CDTF">2018-03-21T17:44:00Z</dcterms:modified>
</cp:coreProperties>
</file>